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72410000-7 </w:t>
      </w:r>
      <w:proofErr w:type="spellStart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>Послуги</w:t>
      </w:r>
      <w:proofErr w:type="spellEnd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>провайдерів</w:t>
      </w:r>
      <w:proofErr w:type="spellEnd"/>
      <w:r w:rsidR="00792077" w:rsidRPr="0079207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proofErr w:type="spellStart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>од</w:t>
      </w:r>
      <w:proofErr w:type="spellEnd"/>
      <w:r w:rsidR="00792077" w:rsidRPr="007920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14369A17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D3803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C86B10" w:rsidRPr="00C86B10">
        <w:rPr>
          <w:rFonts w:ascii="Times New Roman" w:eastAsia="Times New Roman" w:hAnsi="Times New Roman"/>
          <w:sz w:val="24"/>
          <w:szCs w:val="24"/>
        </w:rPr>
        <w:t>UA-2025-12-17-</w:t>
      </w:r>
      <w:r w:rsidR="00D55B61" w:rsidRPr="00D55B61">
        <w:rPr>
          <w:rFonts w:ascii="Times New Roman" w:eastAsia="Times New Roman" w:hAnsi="Times New Roman"/>
          <w:sz w:val="24"/>
          <w:szCs w:val="24"/>
        </w:rPr>
        <w:t>022777-a</w:t>
      </w:r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6F5C0065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C86B10">
        <w:rPr>
          <w:rFonts w:ascii="Times New Roman" w:eastAsia="Times New Roman" w:hAnsi="Times New Roman"/>
          <w:sz w:val="24"/>
          <w:szCs w:val="24"/>
        </w:rPr>
        <w:t>9</w:t>
      </w:r>
      <w:r w:rsidR="00D55B61">
        <w:rPr>
          <w:rFonts w:ascii="Times New Roman" w:eastAsia="Times New Roman" w:hAnsi="Times New Roman"/>
          <w:sz w:val="24"/>
          <w:szCs w:val="24"/>
        </w:rPr>
        <w:t>3 6</w:t>
      </w:r>
      <w:r w:rsidR="00C86B10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67BA76CA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ТОВ «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ВІНЕР ТЕЛЕКОМ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(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вхід.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5464/04-20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15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 (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EA23603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 xml:space="preserve">забезпеченні </w:t>
      </w:r>
      <w:r w:rsidR="00D55B61">
        <w:rPr>
          <w:rFonts w:ascii="Times New Roman" w:hAnsi="Times New Roman"/>
          <w:sz w:val="24"/>
          <w:szCs w:val="24"/>
        </w:rPr>
        <w:t>адміністративних приміщень громади доступом до мережі Інтернет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eading=h.1fob9te" w:colFirst="0" w:colLast="0"/>
      <w:bookmarkEnd w:id="1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22895D3C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</w:t>
      </w:r>
      <w:proofErr w:type="gram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</w:t>
      </w:r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="00D55B6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9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 послуг)</w:t>
      </w:r>
    </w:p>
    <w:p w14:paraId="6BE2BEE5" w14:textId="77777777" w:rsidR="00D55B61" w:rsidRPr="00D24CAF" w:rsidRDefault="00D125AC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="00D55B61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</w:rPr>
        <w:t xml:space="preserve"> </w:t>
      </w:r>
      <w:bookmarkStart w:id="2" w:name="_Hlk186319063"/>
      <w:r w:rsidR="00D55B61" w:rsidRPr="00D24CAF">
        <w:rPr>
          <w:rFonts w:ascii="Times New Roman" w:eastAsia="Times New Roman" w:hAnsi="Times New Roman"/>
          <w:i/>
          <w:color w:val="000000"/>
          <w:sz w:val="24"/>
          <w:szCs w:val="24"/>
        </w:rPr>
        <w:t>(Для забезпечення адміністративних приміщень громади доступом до мережі Інтернет)</w:t>
      </w:r>
    </w:p>
    <w:bookmarkEnd w:id="2"/>
    <w:p w14:paraId="74C23CCB" w14:textId="77777777" w:rsidR="00D55B61" w:rsidRPr="00D24CAF" w:rsidRDefault="00D55B61" w:rsidP="00D55B61">
      <w:pPr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D55B61" w:rsidRPr="00D24CAF" w14:paraId="7802FAE5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D4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№</w:t>
            </w:r>
          </w:p>
          <w:p w14:paraId="3EA6E51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077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4"/>
                <w:szCs w:val="24"/>
              </w:rPr>
              <w:t>Адреса надання послуги</w:t>
            </w: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D24CAF">
              <w:rPr>
                <w:rFonts w:ascii="Times New Roman" w:eastAsia="Arial" w:hAnsi="Times New Roman" w:cs="Arial"/>
                <w:sz w:val="24"/>
                <w:szCs w:val="24"/>
              </w:rPr>
              <w:t>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D0D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1EC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t xml:space="preserve">Смуга пропуску сигналу, Мбіт/с </w:t>
            </w: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01A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t xml:space="preserve">Період надання послуг </w:t>
            </w:r>
            <w:r w:rsidRPr="00D24CAF">
              <w:rPr>
                <w:rFonts w:ascii="Times New Roman" w:eastAsia="Arial" w:hAnsi="Times New Roman" w:cs="Arial"/>
                <w:sz w:val="20"/>
                <w:szCs w:val="20"/>
              </w:rPr>
              <w:br/>
              <w:t>(кількість місяців)</w:t>
            </w:r>
          </w:p>
        </w:tc>
      </w:tr>
      <w:tr w:rsidR="00D55B61" w:rsidRPr="00D24CAF" w14:paraId="2E393826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08DF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93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AC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6AE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D24CAF">
              <w:rPr>
                <w:rFonts w:ascii="Times New Roman" w:eastAsia="Arial" w:hAnsi="Times New Roman" w:cs="Arial"/>
                <w:iCs/>
                <w:sz w:val="24"/>
                <w:szCs w:val="24"/>
              </w:rPr>
              <w:t>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6BC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D24CAF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  <w:tr w:rsidR="00D55B61" w:rsidRPr="00D24CAF" w14:paraId="15B5D32B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91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B4DA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7D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693C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7D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28D362BE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6D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75CE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D2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1F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A2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38C947DD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CBD2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04FD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459D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5A7F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86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44462528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5B7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B7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5693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715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483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5CDB96C7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B21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48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38E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228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D0B5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2649F696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73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9D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Захисників України,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буд. </w:t>
            </w: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394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CAF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168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1447C8B9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03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C2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 xml:space="preserve">м. Новгород-Сіверський,       вул. </w:t>
            </w: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Князя Ігоря, буд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32А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BDD4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953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E8B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  <w:tr w:rsidR="00D55B61" w:rsidRPr="00D24CAF" w14:paraId="567A4CB4" w14:textId="77777777" w:rsidTr="00F15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2CF6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55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м. Новгород-Сіверський,                    вул. Князя Ігоря, буд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 w:rsidRPr="00D24C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32А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1D9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CB7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E20" w14:textId="77777777" w:rsidR="00D55B61" w:rsidRPr="00D24CAF" w:rsidRDefault="00D55B61" w:rsidP="00F15EE6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D24CA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12</w:t>
            </w:r>
          </w:p>
        </w:tc>
      </w:tr>
    </w:tbl>
    <w:p w14:paraId="0000001C" w14:textId="384F1D20" w:rsidR="00181C99" w:rsidRDefault="00181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sectPr w:rsidR="00181C9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165ABA"/>
    <w:rsid w:val="0017235B"/>
    <w:rsid w:val="00181C99"/>
    <w:rsid w:val="00194D74"/>
    <w:rsid w:val="001E698A"/>
    <w:rsid w:val="00232532"/>
    <w:rsid w:val="002E562A"/>
    <w:rsid w:val="002F60C2"/>
    <w:rsid w:val="0031746C"/>
    <w:rsid w:val="0034667C"/>
    <w:rsid w:val="0047235E"/>
    <w:rsid w:val="0053399F"/>
    <w:rsid w:val="005D20C2"/>
    <w:rsid w:val="00610976"/>
    <w:rsid w:val="00636FAE"/>
    <w:rsid w:val="00792077"/>
    <w:rsid w:val="00796403"/>
    <w:rsid w:val="00850D81"/>
    <w:rsid w:val="00856167"/>
    <w:rsid w:val="008A2C52"/>
    <w:rsid w:val="008D5331"/>
    <w:rsid w:val="008F59C1"/>
    <w:rsid w:val="00A0114B"/>
    <w:rsid w:val="00B867EC"/>
    <w:rsid w:val="00C612F2"/>
    <w:rsid w:val="00C6662D"/>
    <w:rsid w:val="00C80177"/>
    <w:rsid w:val="00C86B10"/>
    <w:rsid w:val="00CA259C"/>
    <w:rsid w:val="00D125AC"/>
    <w:rsid w:val="00D41B07"/>
    <w:rsid w:val="00D55B61"/>
    <w:rsid w:val="00DD3803"/>
    <w:rsid w:val="00DE5A43"/>
    <w:rsid w:val="00E257DA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4975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2025-12-19T07:49:00Z</dcterms:created>
  <dcterms:modified xsi:type="dcterms:W3CDTF">2025-12-19T07:49:00Z</dcterms:modified>
</cp:coreProperties>
</file>